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595584C" w14:textId="77777777" w:rsidR="008E3A8B" w:rsidRDefault="008E3A8B" w:rsidP="008E3A8B">
      <w:pPr>
        <w:shd w:val="clear" w:color="auto" w:fill="FFFFFF"/>
        <w:tabs>
          <w:tab w:val="num" w:pos="720"/>
        </w:tabs>
      </w:pPr>
    </w:p>
    <w:p w14:paraId="7DDF38CB" w14:textId="7792C5BE" w:rsidR="008E3A8B" w:rsidRDefault="008E3A8B" w:rsidP="008E3A8B">
      <w:pPr>
        <w:pStyle w:val="NormalWeb"/>
        <w:shd w:val="clear" w:color="auto" w:fill="FFFFFF"/>
        <w:spacing w:before="0" w:beforeAutospacing="0" w:after="0" w:afterAutospacing="0"/>
        <w:rPr>
          <w:rFonts w:asciiTheme="minorHAnsi" w:hAnsiTheme="minorHAnsi" w:cstheme="minorHAnsi"/>
          <w:color w:val="0B0C0C"/>
          <w:sz w:val="28"/>
          <w:szCs w:val="28"/>
        </w:rPr>
      </w:pPr>
    </w:p>
    <w:p w14:paraId="54B90FEB" w14:textId="402A0EAD" w:rsidR="008E3A8B" w:rsidRDefault="008E3A8B" w:rsidP="008E3A8B">
      <w:pPr>
        <w:pStyle w:val="NormalWeb"/>
        <w:shd w:val="clear" w:color="auto" w:fill="FFFFFF"/>
        <w:spacing w:before="0" w:beforeAutospacing="0" w:after="0" w:afterAutospacing="0"/>
        <w:jc w:val="center"/>
        <w:rPr>
          <w:rFonts w:asciiTheme="minorHAnsi" w:hAnsiTheme="minorHAnsi" w:cstheme="minorHAnsi"/>
          <w:b/>
          <w:bCs/>
          <w:color w:val="0B0C0C"/>
          <w:sz w:val="32"/>
          <w:szCs w:val="28"/>
        </w:rPr>
      </w:pPr>
      <w:r w:rsidRPr="008E3A8B">
        <w:rPr>
          <w:rFonts w:asciiTheme="minorHAnsi" w:hAnsiTheme="minorHAnsi" w:cstheme="minorHAnsi"/>
          <w:b/>
          <w:bCs/>
          <w:color w:val="0B0C0C"/>
          <w:sz w:val="32"/>
          <w:szCs w:val="28"/>
        </w:rPr>
        <w:t>St Edward the Confessor Dringhouses Policy Statement Regarding the Recruitment of Ex-Offenders.</w:t>
      </w:r>
    </w:p>
    <w:p w14:paraId="2881E348" w14:textId="19F9123B" w:rsidR="008E3A8B" w:rsidRPr="008E3A8B" w:rsidRDefault="008E3A8B" w:rsidP="008E3A8B">
      <w:pPr>
        <w:pStyle w:val="NormalWeb"/>
        <w:shd w:val="clear" w:color="auto" w:fill="FFFFFF"/>
        <w:spacing w:before="0" w:beforeAutospacing="0" w:after="0" w:afterAutospacing="0"/>
        <w:jc w:val="center"/>
        <w:rPr>
          <w:rFonts w:asciiTheme="minorHAnsi" w:hAnsiTheme="minorHAnsi" w:cstheme="minorHAnsi"/>
          <w:b/>
          <w:bCs/>
          <w:color w:val="0B0C0C"/>
          <w:sz w:val="8"/>
          <w:szCs w:val="28"/>
        </w:rPr>
      </w:pPr>
    </w:p>
    <w:p w14:paraId="4986521A" w14:textId="155B31A2" w:rsidR="008E3A8B" w:rsidRPr="008E3A8B" w:rsidRDefault="008E3A8B" w:rsidP="008E3A8B">
      <w:pPr>
        <w:pStyle w:val="NormalWeb"/>
        <w:shd w:val="clear" w:color="auto" w:fill="FFFFFF"/>
        <w:rPr>
          <w:rFonts w:asciiTheme="minorHAnsi" w:hAnsiTheme="minorHAnsi" w:cstheme="minorHAnsi"/>
          <w:b/>
          <w:bCs/>
          <w:color w:val="0B0C0C"/>
          <w:sz w:val="28"/>
          <w:szCs w:val="28"/>
        </w:rPr>
      </w:pPr>
      <w:r w:rsidRPr="008E3A8B">
        <w:rPr>
          <w:rFonts w:asciiTheme="minorHAnsi" w:hAnsiTheme="minorHAnsi" w:cstheme="minorHAnsi"/>
          <w:b/>
          <w:bCs/>
          <w:color w:val="0B0C0C"/>
          <w:sz w:val="28"/>
          <w:szCs w:val="28"/>
        </w:rPr>
        <w:t xml:space="preserve">The policy below is taken from a sample statement issued by the Disclosure and Barring Service (DBS). </w:t>
      </w:r>
    </w:p>
    <w:p w14:paraId="77DAB5F9" w14:textId="77777777" w:rsidR="008E3A8B" w:rsidRDefault="008E3A8B" w:rsidP="008E3A8B">
      <w:pPr>
        <w:pStyle w:val="NormalWeb"/>
        <w:shd w:val="clear" w:color="auto" w:fill="FFFFFF"/>
        <w:spacing w:before="0" w:beforeAutospacing="0" w:after="0" w:afterAutospacing="0"/>
        <w:rPr>
          <w:rFonts w:asciiTheme="minorHAnsi" w:hAnsiTheme="minorHAnsi" w:cstheme="minorHAnsi"/>
          <w:color w:val="0B0C0C"/>
          <w:sz w:val="28"/>
          <w:szCs w:val="28"/>
        </w:rPr>
      </w:pPr>
    </w:p>
    <w:p w14:paraId="53A030A7" w14:textId="08CD1AF3" w:rsidR="008E3A8B" w:rsidRPr="008E3A8B" w:rsidRDefault="00584E4A" w:rsidP="00584E4A">
      <w:pPr>
        <w:pStyle w:val="NormalWeb"/>
        <w:numPr>
          <w:ilvl w:val="0"/>
          <w:numId w:val="1"/>
        </w:numPr>
        <w:shd w:val="clear" w:color="auto" w:fill="FFFFFF"/>
        <w:spacing w:before="0" w:beforeAutospacing="0" w:after="0" w:afterAutospacing="0"/>
        <w:rPr>
          <w:rFonts w:asciiTheme="minorHAnsi" w:hAnsiTheme="minorHAnsi" w:cstheme="minorHAnsi"/>
          <w:color w:val="0B0C0C"/>
          <w:sz w:val="28"/>
          <w:szCs w:val="28"/>
        </w:rPr>
      </w:pPr>
      <w:r>
        <w:rPr>
          <w:rFonts w:asciiTheme="minorHAnsi" w:hAnsiTheme="minorHAnsi" w:cstheme="minorHAnsi"/>
          <w:color w:val="0B0C0C"/>
          <w:sz w:val="28"/>
          <w:szCs w:val="28"/>
        </w:rPr>
        <w:t>A</w:t>
      </w:r>
      <w:r w:rsidR="008E3A8B" w:rsidRPr="008E3A8B">
        <w:rPr>
          <w:rFonts w:asciiTheme="minorHAnsi" w:hAnsiTheme="minorHAnsi" w:cstheme="minorHAnsi"/>
          <w:color w:val="0B0C0C"/>
          <w:sz w:val="28"/>
          <w:szCs w:val="28"/>
        </w:rPr>
        <w:t xml:space="preserve">s an organisation assessing applicants’ suitability for positions which are included in the Rehabilitation of Offenders Act 1974 (Exceptions) Order using criminal record checks processed through the Disclosure and Barring Service (DBS), </w:t>
      </w:r>
      <w:r w:rsidR="008E3A8B">
        <w:rPr>
          <w:rFonts w:asciiTheme="minorHAnsi" w:hAnsiTheme="minorHAnsi" w:cstheme="minorHAnsi"/>
          <w:color w:val="0B0C0C"/>
          <w:sz w:val="28"/>
          <w:szCs w:val="28"/>
        </w:rPr>
        <w:t>St Edward the Confessor PCC</w:t>
      </w:r>
      <w:r w:rsidR="008E3A8B" w:rsidRPr="008E3A8B">
        <w:rPr>
          <w:rFonts w:asciiTheme="minorHAnsi" w:hAnsiTheme="minorHAnsi" w:cstheme="minorHAnsi"/>
          <w:color w:val="0B0C0C"/>
          <w:sz w:val="28"/>
          <w:szCs w:val="28"/>
        </w:rPr>
        <w:t xml:space="preserve"> complies fully with the </w:t>
      </w:r>
      <w:hyperlink r:id="rId7" w:history="1">
        <w:r w:rsidR="008E3A8B" w:rsidRPr="008E3A8B">
          <w:rPr>
            <w:rStyle w:val="Hyperlink"/>
            <w:rFonts w:asciiTheme="minorHAnsi" w:hAnsiTheme="minorHAnsi" w:cstheme="minorHAnsi"/>
            <w:color w:val="1D70B8"/>
            <w:sz w:val="28"/>
            <w:szCs w:val="28"/>
          </w:rPr>
          <w:t>code of practice</w:t>
        </w:r>
      </w:hyperlink>
      <w:r w:rsidR="008E3A8B" w:rsidRPr="008E3A8B">
        <w:rPr>
          <w:rFonts w:asciiTheme="minorHAnsi" w:hAnsiTheme="minorHAnsi" w:cstheme="minorHAnsi"/>
          <w:color w:val="0B0C0C"/>
          <w:sz w:val="28"/>
          <w:szCs w:val="28"/>
        </w:rPr>
        <w:t> and undertakes to treat all applicants for positions fairly</w:t>
      </w:r>
      <w:r>
        <w:rPr>
          <w:rFonts w:asciiTheme="minorHAnsi" w:hAnsiTheme="minorHAnsi" w:cstheme="minorHAnsi"/>
          <w:color w:val="0B0C0C"/>
          <w:sz w:val="28"/>
          <w:szCs w:val="28"/>
        </w:rPr>
        <w:t>.</w:t>
      </w:r>
    </w:p>
    <w:p w14:paraId="4377682F" w14:textId="3F8F7F32" w:rsidR="008E3A8B" w:rsidRPr="008E3A8B" w:rsidRDefault="008E3A8B" w:rsidP="00584E4A">
      <w:pPr>
        <w:pStyle w:val="NormalWeb"/>
        <w:numPr>
          <w:ilvl w:val="0"/>
          <w:numId w:val="1"/>
        </w:numPr>
        <w:shd w:val="clear" w:color="auto" w:fill="FFFFFF"/>
        <w:spacing w:before="0" w:beforeAutospacing="0" w:after="0" w:afterAutospacing="0"/>
        <w:rPr>
          <w:rFonts w:asciiTheme="minorHAnsi" w:hAnsiTheme="minorHAnsi" w:cstheme="minorHAnsi"/>
          <w:color w:val="0B0C0C"/>
          <w:sz w:val="28"/>
          <w:szCs w:val="28"/>
        </w:rPr>
      </w:pPr>
      <w:r>
        <w:rPr>
          <w:rFonts w:asciiTheme="minorHAnsi" w:hAnsiTheme="minorHAnsi" w:cstheme="minorHAnsi"/>
          <w:color w:val="0B0C0C"/>
          <w:sz w:val="28"/>
          <w:szCs w:val="28"/>
        </w:rPr>
        <w:t>St Edward the Confessor PCC</w:t>
      </w:r>
      <w:r w:rsidRPr="008E3A8B">
        <w:rPr>
          <w:rFonts w:asciiTheme="minorHAnsi" w:hAnsiTheme="minorHAnsi" w:cstheme="minorHAnsi"/>
          <w:color w:val="0B0C0C"/>
          <w:sz w:val="28"/>
          <w:szCs w:val="28"/>
        </w:rPr>
        <w:t xml:space="preserve"> undertakes not to discriminate unfairly against any subject of a criminal record check </w:t>
      </w:r>
      <w:proofErr w:type="gramStart"/>
      <w:r w:rsidRPr="008E3A8B">
        <w:rPr>
          <w:rFonts w:asciiTheme="minorHAnsi" w:hAnsiTheme="minorHAnsi" w:cstheme="minorHAnsi"/>
          <w:color w:val="0B0C0C"/>
          <w:sz w:val="28"/>
          <w:szCs w:val="28"/>
        </w:rPr>
        <w:t>on the basis of</w:t>
      </w:r>
      <w:proofErr w:type="gramEnd"/>
      <w:r w:rsidRPr="008E3A8B">
        <w:rPr>
          <w:rFonts w:asciiTheme="minorHAnsi" w:hAnsiTheme="minorHAnsi" w:cstheme="minorHAnsi"/>
          <w:color w:val="0B0C0C"/>
          <w:sz w:val="28"/>
          <w:szCs w:val="28"/>
        </w:rPr>
        <w:t xml:space="preserve"> a conviction or other information revealed</w:t>
      </w:r>
      <w:r w:rsidR="00584E4A">
        <w:rPr>
          <w:rFonts w:asciiTheme="minorHAnsi" w:hAnsiTheme="minorHAnsi" w:cstheme="minorHAnsi"/>
          <w:color w:val="0B0C0C"/>
          <w:sz w:val="28"/>
          <w:szCs w:val="28"/>
        </w:rPr>
        <w:t>.</w:t>
      </w:r>
    </w:p>
    <w:p w14:paraId="1EDB7265" w14:textId="0B3CFE32" w:rsidR="008E3A8B" w:rsidRPr="00435869" w:rsidRDefault="008E3A8B" w:rsidP="0097678C">
      <w:pPr>
        <w:pStyle w:val="NormalWeb"/>
        <w:numPr>
          <w:ilvl w:val="0"/>
          <w:numId w:val="1"/>
        </w:numPr>
        <w:shd w:val="clear" w:color="auto" w:fill="FFFFFF"/>
        <w:spacing w:before="0" w:beforeAutospacing="0" w:after="0" w:afterAutospacing="0"/>
        <w:rPr>
          <w:rFonts w:asciiTheme="minorHAnsi" w:hAnsiTheme="minorHAnsi" w:cstheme="minorHAnsi"/>
          <w:color w:val="0B0C0C"/>
          <w:sz w:val="28"/>
          <w:szCs w:val="28"/>
        </w:rPr>
      </w:pPr>
      <w:r w:rsidRPr="00435869">
        <w:rPr>
          <w:rFonts w:asciiTheme="minorHAnsi" w:hAnsiTheme="minorHAnsi" w:cstheme="minorHAnsi"/>
          <w:color w:val="0B0C0C"/>
          <w:sz w:val="28"/>
          <w:szCs w:val="28"/>
        </w:rPr>
        <w:t xml:space="preserve">St Edward the Confessor PCC can only ask an individual to provide details of convictions and cautions that St Edward the Confessor PCC </w:t>
      </w:r>
      <w:r w:rsidR="00692D89">
        <w:rPr>
          <w:rFonts w:asciiTheme="minorHAnsi" w:hAnsiTheme="minorHAnsi" w:cstheme="minorHAnsi"/>
          <w:color w:val="0B0C0C"/>
          <w:sz w:val="28"/>
          <w:szCs w:val="28"/>
        </w:rPr>
        <w:t>is</w:t>
      </w:r>
      <w:r w:rsidRPr="00435869">
        <w:rPr>
          <w:rFonts w:asciiTheme="minorHAnsi" w:hAnsiTheme="minorHAnsi" w:cstheme="minorHAnsi"/>
          <w:color w:val="0B0C0C"/>
          <w:sz w:val="28"/>
          <w:szCs w:val="28"/>
        </w:rPr>
        <w:t xml:space="preserve"> legally entitled to know about. Where a DBS certificate at either standard or enhanced level can legally be requested (where the position is one that is included in the Rehabilitation of Offenders Act 1974 (Exceptions) Order 1975 as amended, and where appropriate Police Act Regulations as amended)</w:t>
      </w:r>
      <w:r w:rsidR="00435869">
        <w:rPr>
          <w:rFonts w:asciiTheme="minorHAnsi" w:hAnsiTheme="minorHAnsi" w:cstheme="minorHAnsi"/>
          <w:color w:val="0B0C0C"/>
          <w:sz w:val="28"/>
          <w:szCs w:val="28"/>
        </w:rPr>
        <w:t>, S</w:t>
      </w:r>
      <w:r w:rsidRPr="00435869">
        <w:rPr>
          <w:rFonts w:asciiTheme="minorHAnsi" w:hAnsiTheme="minorHAnsi" w:cstheme="minorHAnsi"/>
          <w:color w:val="0B0C0C"/>
          <w:sz w:val="28"/>
          <w:szCs w:val="28"/>
        </w:rPr>
        <w:t>t Edward the Confessor PCC can only ask an individual about convictions and cautions that are not protected</w:t>
      </w:r>
      <w:r w:rsidR="00584E4A" w:rsidRPr="00435869">
        <w:rPr>
          <w:rFonts w:asciiTheme="minorHAnsi" w:hAnsiTheme="minorHAnsi" w:cstheme="minorHAnsi"/>
          <w:color w:val="0B0C0C"/>
          <w:sz w:val="28"/>
          <w:szCs w:val="28"/>
        </w:rPr>
        <w:t>.</w:t>
      </w:r>
    </w:p>
    <w:p w14:paraId="63C05E36" w14:textId="6B7B958E" w:rsidR="008E3A8B" w:rsidRPr="008E3A8B" w:rsidRDefault="008E3A8B" w:rsidP="00584E4A">
      <w:pPr>
        <w:pStyle w:val="NormalWeb"/>
        <w:numPr>
          <w:ilvl w:val="0"/>
          <w:numId w:val="1"/>
        </w:numPr>
        <w:shd w:val="clear" w:color="auto" w:fill="FFFFFF"/>
        <w:spacing w:before="0" w:beforeAutospacing="0" w:after="0" w:afterAutospacing="0"/>
        <w:rPr>
          <w:rFonts w:asciiTheme="minorHAnsi" w:hAnsiTheme="minorHAnsi" w:cstheme="minorHAnsi"/>
          <w:color w:val="0B0C0C"/>
          <w:sz w:val="28"/>
          <w:szCs w:val="28"/>
        </w:rPr>
      </w:pPr>
      <w:r>
        <w:rPr>
          <w:rFonts w:asciiTheme="minorHAnsi" w:hAnsiTheme="minorHAnsi" w:cstheme="minorHAnsi"/>
          <w:color w:val="0B0C0C"/>
          <w:sz w:val="28"/>
          <w:szCs w:val="28"/>
        </w:rPr>
        <w:t>St Edward the Confessor PCC</w:t>
      </w:r>
      <w:r w:rsidRPr="008E3A8B">
        <w:rPr>
          <w:rFonts w:asciiTheme="minorHAnsi" w:hAnsiTheme="minorHAnsi" w:cstheme="minorHAnsi"/>
          <w:color w:val="0B0C0C"/>
          <w:sz w:val="28"/>
          <w:szCs w:val="28"/>
        </w:rPr>
        <w:t xml:space="preserve"> is committed to the fair treatment of its staff, potential staff or users of its services, regardless of race, gender, religion, sexual orientation, responsibilities for dependants, age, physical/mental disability or offending background</w:t>
      </w:r>
      <w:r w:rsidR="00584E4A">
        <w:rPr>
          <w:rFonts w:asciiTheme="minorHAnsi" w:hAnsiTheme="minorHAnsi" w:cstheme="minorHAnsi"/>
          <w:color w:val="0B0C0C"/>
          <w:sz w:val="28"/>
          <w:szCs w:val="28"/>
        </w:rPr>
        <w:t>.</w:t>
      </w:r>
    </w:p>
    <w:p w14:paraId="65EB2F6E" w14:textId="7F2565B6" w:rsidR="008E3A8B" w:rsidRPr="008E3A8B" w:rsidRDefault="008E3A8B" w:rsidP="00584E4A">
      <w:pPr>
        <w:pStyle w:val="NormalWeb"/>
        <w:numPr>
          <w:ilvl w:val="0"/>
          <w:numId w:val="1"/>
        </w:numPr>
        <w:shd w:val="clear" w:color="auto" w:fill="FFFFFF"/>
        <w:spacing w:before="0" w:beforeAutospacing="0" w:after="0" w:afterAutospacing="0"/>
        <w:rPr>
          <w:rFonts w:asciiTheme="minorHAnsi" w:hAnsiTheme="minorHAnsi" w:cstheme="minorHAnsi"/>
          <w:color w:val="0B0C0C"/>
          <w:sz w:val="28"/>
          <w:szCs w:val="28"/>
        </w:rPr>
      </w:pPr>
      <w:r>
        <w:rPr>
          <w:rFonts w:asciiTheme="minorHAnsi" w:hAnsiTheme="minorHAnsi" w:cstheme="minorHAnsi"/>
          <w:color w:val="0B0C0C"/>
          <w:sz w:val="28"/>
          <w:szCs w:val="28"/>
        </w:rPr>
        <w:t>St Edward the Confessor PCC</w:t>
      </w:r>
      <w:r w:rsidRPr="008E3A8B">
        <w:rPr>
          <w:rFonts w:asciiTheme="minorHAnsi" w:hAnsiTheme="minorHAnsi" w:cstheme="minorHAnsi"/>
          <w:color w:val="0B0C0C"/>
          <w:sz w:val="28"/>
          <w:szCs w:val="28"/>
        </w:rPr>
        <w:t xml:space="preserve"> has a written policy on the recruitment of ex-offenders, which is made available to all DBS applicants at the start of the recruitment process</w:t>
      </w:r>
      <w:r w:rsidR="00584E4A">
        <w:rPr>
          <w:rFonts w:asciiTheme="minorHAnsi" w:hAnsiTheme="minorHAnsi" w:cstheme="minorHAnsi"/>
          <w:color w:val="0B0C0C"/>
          <w:sz w:val="28"/>
          <w:szCs w:val="28"/>
        </w:rPr>
        <w:t>.</w:t>
      </w:r>
    </w:p>
    <w:p w14:paraId="0A878BCC" w14:textId="58BC0481" w:rsidR="008E3A8B" w:rsidRPr="008E3A8B" w:rsidRDefault="008E3A8B" w:rsidP="00584E4A">
      <w:pPr>
        <w:pStyle w:val="NormalWeb"/>
        <w:numPr>
          <w:ilvl w:val="0"/>
          <w:numId w:val="1"/>
        </w:numPr>
        <w:shd w:val="clear" w:color="auto" w:fill="FFFFFF"/>
        <w:spacing w:before="0" w:beforeAutospacing="0" w:after="0" w:afterAutospacing="0"/>
        <w:rPr>
          <w:rFonts w:asciiTheme="minorHAnsi" w:hAnsiTheme="minorHAnsi" w:cstheme="minorHAnsi"/>
          <w:color w:val="0B0C0C"/>
          <w:sz w:val="28"/>
          <w:szCs w:val="28"/>
        </w:rPr>
      </w:pPr>
      <w:r>
        <w:rPr>
          <w:rFonts w:asciiTheme="minorHAnsi" w:hAnsiTheme="minorHAnsi" w:cstheme="minorHAnsi"/>
          <w:color w:val="0B0C0C"/>
          <w:sz w:val="28"/>
          <w:szCs w:val="28"/>
        </w:rPr>
        <w:t>St Edward the Confessor PCC</w:t>
      </w:r>
      <w:r w:rsidRPr="008E3A8B">
        <w:rPr>
          <w:rFonts w:asciiTheme="minorHAnsi" w:hAnsiTheme="minorHAnsi" w:cstheme="minorHAnsi"/>
          <w:color w:val="0B0C0C"/>
          <w:sz w:val="28"/>
          <w:szCs w:val="28"/>
        </w:rPr>
        <w:t xml:space="preserve"> actively promotes equality of opportunity for all with the right mix of talent, skills and potential and welcome applications from a wide range of candidates, including those with criminal records</w:t>
      </w:r>
      <w:r w:rsidR="00584E4A">
        <w:rPr>
          <w:rFonts w:asciiTheme="minorHAnsi" w:hAnsiTheme="minorHAnsi" w:cstheme="minorHAnsi"/>
          <w:color w:val="0B0C0C"/>
          <w:sz w:val="28"/>
          <w:szCs w:val="28"/>
        </w:rPr>
        <w:t>.</w:t>
      </w:r>
    </w:p>
    <w:p w14:paraId="0D0AB5C1" w14:textId="2198AF60" w:rsidR="008E3A8B" w:rsidRDefault="008E3A8B" w:rsidP="00584E4A">
      <w:pPr>
        <w:pStyle w:val="NormalWeb"/>
        <w:numPr>
          <w:ilvl w:val="0"/>
          <w:numId w:val="1"/>
        </w:numPr>
        <w:shd w:val="clear" w:color="auto" w:fill="FFFFFF"/>
        <w:spacing w:before="0" w:beforeAutospacing="0" w:after="0" w:afterAutospacing="0"/>
        <w:rPr>
          <w:rFonts w:asciiTheme="minorHAnsi" w:hAnsiTheme="minorHAnsi" w:cstheme="minorHAnsi"/>
          <w:color w:val="0B0C0C"/>
          <w:sz w:val="28"/>
          <w:szCs w:val="28"/>
        </w:rPr>
      </w:pPr>
      <w:r>
        <w:rPr>
          <w:rFonts w:asciiTheme="minorHAnsi" w:hAnsiTheme="minorHAnsi" w:cstheme="minorHAnsi"/>
          <w:color w:val="0B0C0C"/>
          <w:sz w:val="28"/>
          <w:szCs w:val="28"/>
        </w:rPr>
        <w:t>St Edward the Confessor PCC</w:t>
      </w:r>
      <w:r w:rsidRPr="008E3A8B">
        <w:rPr>
          <w:rFonts w:asciiTheme="minorHAnsi" w:hAnsiTheme="minorHAnsi" w:cstheme="minorHAnsi"/>
          <w:color w:val="0B0C0C"/>
          <w:sz w:val="28"/>
          <w:szCs w:val="28"/>
        </w:rPr>
        <w:t xml:space="preserve"> select</w:t>
      </w:r>
      <w:r w:rsidR="00435869">
        <w:rPr>
          <w:rFonts w:asciiTheme="minorHAnsi" w:hAnsiTheme="minorHAnsi" w:cstheme="minorHAnsi"/>
          <w:color w:val="0B0C0C"/>
          <w:sz w:val="28"/>
          <w:szCs w:val="28"/>
        </w:rPr>
        <w:t>s</w:t>
      </w:r>
      <w:r w:rsidRPr="008E3A8B">
        <w:rPr>
          <w:rFonts w:asciiTheme="minorHAnsi" w:hAnsiTheme="minorHAnsi" w:cstheme="minorHAnsi"/>
          <w:color w:val="0B0C0C"/>
          <w:sz w:val="28"/>
          <w:szCs w:val="28"/>
        </w:rPr>
        <w:t xml:space="preserve"> all candidates for interview based on their skills, qualifications and experience</w:t>
      </w:r>
      <w:r w:rsidR="00584E4A">
        <w:rPr>
          <w:rFonts w:asciiTheme="minorHAnsi" w:hAnsiTheme="minorHAnsi" w:cstheme="minorHAnsi"/>
          <w:color w:val="0B0C0C"/>
          <w:sz w:val="28"/>
          <w:szCs w:val="28"/>
        </w:rPr>
        <w:t>.</w:t>
      </w:r>
    </w:p>
    <w:p w14:paraId="79993C14" w14:textId="06A2D0CB" w:rsidR="007155D1" w:rsidRDefault="007155D1" w:rsidP="007155D1">
      <w:pPr>
        <w:pStyle w:val="NormalWeb"/>
        <w:shd w:val="clear" w:color="auto" w:fill="FFFFFF"/>
        <w:spacing w:before="0" w:beforeAutospacing="0" w:after="0" w:afterAutospacing="0"/>
        <w:rPr>
          <w:rFonts w:asciiTheme="minorHAnsi" w:hAnsiTheme="minorHAnsi" w:cstheme="minorHAnsi"/>
          <w:color w:val="0B0C0C"/>
          <w:sz w:val="28"/>
          <w:szCs w:val="28"/>
        </w:rPr>
      </w:pPr>
    </w:p>
    <w:p w14:paraId="2F30A33C" w14:textId="77F30411" w:rsidR="007155D1" w:rsidRDefault="007155D1" w:rsidP="007155D1">
      <w:pPr>
        <w:pStyle w:val="NormalWeb"/>
        <w:shd w:val="clear" w:color="auto" w:fill="FFFFFF"/>
        <w:spacing w:before="0" w:beforeAutospacing="0" w:after="0" w:afterAutospacing="0"/>
        <w:rPr>
          <w:rFonts w:asciiTheme="minorHAnsi" w:hAnsiTheme="minorHAnsi" w:cstheme="minorHAnsi"/>
          <w:color w:val="0B0C0C"/>
          <w:sz w:val="28"/>
          <w:szCs w:val="28"/>
        </w:rPr>
      </w:pPr>
    </w:p>
    <w:p w14:paraId="40F0071F" w14:textId="534E0F58" w:rsidR="007155D1" w:rsidRDefault="007155D1" w:rsidP="007155D1">
      <w:pPr>
        <w:pStyle w:val="NormalWeb"/>
        <w:shd w:val="clear" w:color="auto" w:fill="FFFFFF"/>
        <w:spacing w:before="0" w:beforeAutospacing="0" w:after="0" w:afterAutospacing="0"/>
        <w:rPr>
          <w:rFonts w:asciiTheme="minorHAnsi" w:hAnsiTheme="minorHAnsi" w:cstheme="minorHAnsi"/>
          <w:color w:val="0B0C0C"/>
          <w:sz w:val="28"/>
          <w:szCs w:val="28"/>
        </w:rPr>
      </w:pPr>
    </w:p>
    <w:p w14:paraId="74AF9010" w14:textId="0E36A1A3" w:rsidR="007155D1" w:rsidRDefault="007155D1" w:rsidP="007155D1">
      <w:pPr>
        <w:pStyle w:val="NormalWeb"/>
        <w:shd w:val="clear" w:color="auto" w:fill="FFFFFF"/>
        <w:spacing w:before="0" w:beforeAutospacing="0" w:after="0" w:afterAutospacing="0"/>
        <w:rPr>
          <w:rFonts w:asciiTheme="minorHAnsi" w:hAnsiTheme="minorHAnsi" w:cstheme="minorHAnsi"/>
          <w:color w:val="0B0C0C"/>
          <w:sz w:val="28"/>
          <w:szCs w:val="28"/>
        </w:rPr>
      </w:pPr>
    </w:p>
    <w:p w14:paraId="1CACA4B5" w14:textId="77777777" w:rsidR="008E3A8B" w:rsidRPr="008E3A8B" w:rsidRDefault="008E3A8B" w:rsidP="00584E4A">
      <w:pPr>
        <w:pStyle w:val="NormalWeb"/>
        <w:numPr>
          <w:ilvl w:val="0"/>
          <w:numId w:val="1"/>
        </w:numPr>
        <w:shd w:val="clear" w:color="auto" w:fill="FFFFFF"/>
        <w:spacing w:before="0" w:beforeAutospacing="0" w:after="0" w:afterAutospacing="0"/>
        <w:rPr>
          <w:rFonts w:asciiTheme="minorHAnsi" w:hAnsiTheme="minorHAnsi" w:cstheme="minorHAnsi"/>
          <w:color w:val="0B0C0C"/>
          <w:sz w:val="28"/>
          <w:szCs w:val="28"/>
        </w:rPr>
      </w:pPr>
      <w:r>
        <w:rPr>
          <w:rFonts w:asciiTheme="minorHAnsi" w:hAnsiTheme="minorHAnsi" w:cstheme="minorHAnsi"/>
          <w:color w:val="0B0C0C"/>
          <w:sz w:val="28"/>
          <w:szCs w:val="28"/>
        </w:rPr>
        <w:br w:type="page"/>
      </w:r>
    </w:p>
    <w:p w14:paraId="7DEF1C6A" w14:textId="77777777" w:rsidR="007155D1" w:rsidRDefault="007155D1" w:rsidP="007155D1">
      <w:pPr>
        <w:pStyle w:val="NormalWeb"/>
        <w:shd w:val="clear" w:color="auto" w:fill="FFFFFF"/>
        <w:spacing w:before="0" w:beforeAutospacing="0" w:after="0" w:afterAutospacing="0"/>
        <w:rPr>
          <w:rFonts w:asciiTheme="minorHAnsi" w:hAnsiTheme="minorHAnsi" w:cstheme="minorHAnsi"/>
          <w:color w:val="0B0C0C"/>
          <w:sz w:val="28"/>
          <w:szCs w:val="28"/>
        </w:rPr>
      </w:pPr>
    </w:p>
    <w:p w14:paraId="6EEB59C5" w14:textId="379AF2E3" w:rsidR="008E3A8B" w:rsidRPr="008E3A8B" w:rsidRDefault="00584E4A" w:rsidP="00584E4A">
      <w:pPr>
        <w:pStyle w:val="NormalWeb"/>
        <w:numPr>
          <w:ilvl w:val="0"/>
          <w:numId w:val="2"/>
        </w:numPr>
        <w:shd w:val="clear" w:color="auto" w:fill="FFFFFF"/>
        <w:spacing w:before="0" w:beforeAutospacing="0" w:after="0" w:afterAutospacing="0"/>
        <w:rPr>
          <w:rFonts w:asciiTheme="minorHAnsi" w:hAnsiTheme="minorHAnsi" w:cstheme="minorHAnsi"/>
          <w:color w:val="0B0C0C"/>
          <w:sz w:val="28"/>
          <w:szCs w:val="28"/>
        </w:rPr>
      </w:pPr>
      <w:r>
        <w:rPr>
          <w:rFonts w:asciiTheme="minorHAnsi" w:hAnsiTheme="minorHAnsi" w:cstheme="minorHAnsi"/>
          <w:color w:val="0B0C0C"/>
          <w:sz w:val="28"/>
          <w:szCs w:val="28"/>
        </w:rPr>
        <w:t>A</w:t>
      </w:r>
      <w:r w:rsidR="008E3A8B" w:rsidRPr="008E3A8B">
        <w:rPr>
          <w:rFonts w:asciiTheme="minorHAnsi" w:hAnsiTheme="minorHAnsi" w:cstheme="minorHAnsi"/>
          <w:color w:val="0B0C0C"/>
          <w:sz w:val="28"/>
          <w:szCs w:val="28"/>
        </w:rPr>
        <w:t>n application for a criminal record check is only submitted to DBS after a thorough risk assessment has indicated that one is both proportionate and relevant to the position concerned. For those positions where a criminal record check is identified as necessary, all application forms, job adverts and recruitment briefs will contain a statement that an application for a DBS certificate will be submitted in the event of the individual being offered the position</w:t>
      </w:r>
      <w:r>
        <w:rPr>
          <w:rFonts w:asciiTheme="minorHAnsi" w:hAnsiTheme="minorHAnsi" w:cstheme="minorHAnsi"/>
          <w:color w:val="0B0C0C"/>
          <w:sz w:val="28"/>
          <w:szCs w:val="28"/>
        </w:rPr>
        <w:t>.</w:t>
      </w:r>
    </w:p>
    <w:p w14:paraId="55DFBE4C" w14:textId="4E64ADC7" w:rsidR="008E3A8B" w:rsidRPr="008E3A8B" w:rsidRDefault="008E3A8B" w:rsidP="00584E4A">
      <w:pPr>
        <w:pStyle w:val="NormalWeb"/>
        <w:numPr>
          <w:ilvl w:val="0"/>
          <w:numId w:val="2"/>
        </w:numPr>
        <w:shd w:val="clear" w:color="auto" w:fill="FFFFFF"/>
        <w:spacing w:before="0" w:beforeAutospacing="0" w:after="0" w:afterAutospacing="0"/>
        <w:rPr>
          <w:rFonts w:asciiTheme="minorHAnsi" w:hAnsiTheme="minorHAnsi" w:cstheme="minorHAnsi"/>
          <w:color w:val="0B0C0C"/>
          <w:sz w:val="28"/>
          <w:szCs w:val="28"/>
        </w:rPr>
      </w:pPr>
      <w:r>
        <w:rPr>
          <w:rFonts w:asciiTheme="minorHAnsi" w:hAnsiTheme="minorHAnsi" w:cstheme="minorHAnsi"/>
          <w:color w:val="0B0C0C"/>
          <w:sz w:val="28"/>
          <w:szCs w:val="28"/>
        </w:rPr>
        <w:t>St Edward the Confessor PCC</w:t>
      </w:r>
      <w:r w:rsidRPr="008E3A8B">
        <w:rPr>
          <w:rFonts w:asciiTheme="minorHAnsi" w:hAnsiTheme="minorHAnsi" w:cstheme="minorHAnsi"/>
          <w:color w:val="0B0C0C"/>
          <w:sz w:val="28"/>
          <w:szCs w:val="28"/>
        </w:rPr>
        <w:t xml:space="preserve"> ensures that all those in </w:t>
      </w:r>
      <w:r>
        <w:rPr>
          <w:rFonts w:asciiTheme="minorHAnsi" w:hAnsiTheme="minorHAnsi" w:cstheme="minorHAnsi"/>
          <w:color w:val="0B0C0C"/>
          <w:sz w:val="28"/>
          <w:szCs w:val="28"/>
        </w:rPr>
        <w:t>St Edward the Confessor PCC</w:t>
      </w:r>
      <w:r w:rsidRPr="008E3A8B">
        <w:rPr>
          <w:rFonts w:asciiTheme="minorHAnsi" w:hAnsiTheme="minorHAnsi" w:cstheme="minorHAnsi"/>
          <w:color w:val="0B0C0C"/>
          <w:sz w:val="28"/>
          <w:szCs w:val="28"/>
        </w:rPr>
        <w:t xml:space="preserve"> who are involved in the recruitment process have been suitably trained to identify and assess the relevance and circumstances of offences</w:t>
      </w:r>
      <w:r w:rsidR="00584E4A">
        <w:rPr>
          <w:rFonts w:asciiTheme="minorHAnsi" w:hAnsiTheme="minorHAnsi" w:cstheme="minorHAnsi"/>
          <w:color w:val="0B0C0C"/>
          <w:sz w:val="28"/>
          <w:szCs w:val="28"/>
        </w:rPr>
        <w:t>.</w:t>
      </w:r>
    </w:p>
    <w:p w14:paraId="03943A76" w14:textId="076B97CB" w:rsidR="008E3A8B" w:rsidRPr="008E3A8B" w:rsidRDefault="008E3A8B" w:rsidP="00584E4A">
      <w:pPr>
        <w:pStyle w:val="NormalWeb"/>
        <w:numPr>
          <w:ilvl w:val="0"/>
          <w:numId w:val="2"/>
        </w:numPr>
        <w:shd w:val="clear" w:color="auto" w:fill="FFFFFF"/>
        <w:spacing w:before="0" w:beforeAutospacing="0" w:after="0" w:afterAutospacing="0"/>
        <w:rPr>
          <w:rFonts w:asciiTheme="minorHAnsi" w:hAnsiTheme="minorHAnsi" w:cstheme="minorHAnsi"/>
          <w:color w:val="0B0C0C"/>
          <w:sz w:val="28"/>
          <w:szCs w:val="28"/>
        </w:rPr>
      </w:pPr>
      <w:r>
        <w:rPr>
          <w:rFonts w:asciiTheme="minorHAnsi" w:hAnsiTheme="minorHAnsi" w:cstheme="minorHAnsi"/>
          <w:color w:val="0B0C0C"/>
          <w:sz w:val="28"/>
          <w:szCs w:val="28"/>
        </w:rPr>
        <w:t>St Edward the Confessor PCC</w:t>
      </w:r>
      <w:r w:rsidRPr="008E3A8B">
        <w:rPr>
          <w:rFonts w:asciiTheme="minorHAnsi" w:hAnsiTheme="minorHAnsi" w:cstheme="minorHAnsi"/>
          <w:color w:val="0B0C0C"/>
          <w:sz w:val="28"/>
          <w:szCs w:val="28"/>
        </w:rPr>
        <w:t xml:space="preserve"> also ensures that they have received appropriate guidance and training in the relevant legislation relating to the employment of ex-offenders, e.g. the Rehabilitation of Offenders Act 1974</w:t>
      </w:r>
      <w:r w:rsidR="00584E4A">
        <w:rPr>
          <w:rFonts w:asciiTheme="minorHAnsi" w:hAnsiTheme="minorHAnsi" w:cstheme="minorHAnsi"/>
          <w:color w:val="0B0C0C"/>
          <w:sz w:val="28"/>
          <w:szCs w:val="28"/>
        </w:rPr>
        <w:t>.</w:t>
      </w:r>
    </w:p>
    <w:p w14:paraId="689373F7" w14:textId="45AAFAD2" w:rsidR="008E3A8B" w:rsidRPr="008E3A8B" w:rsidRDefault="00584E4A" w:rsidP="00584E4A">
      <w:pPr>
        <w:pStyle w:val="NormalWeb"/>
        <w:numPr>
          <w:ilvl w:val="0"/>
          <w:numId w:val="2"/>
        </w:numPr>
        <w:shd w:val="clear" w:color="auto" w:fill="FFFFFF"/>
        <w:spacing w:before="0" w:beforeAutospacing="0" w:after="0" w:afterAutospacing="0"/>
        <w:rPr>
          <w:rFonts w:asciiTheme="minorHAnsi" w:hAnsiTheme="minorHAnsi" w:cstheme="minorHAnsi"/>
          <w:color w:val="0B0C0C"/>
          <w:sz w:val="28"/>
          <w:szCs w:val="28"/>
        </w:rPr>
      </w:pPr>
      <w:r>
        <w:rPr>
          <w:rFonts w:asciiTheme="minorHAnsi" w:hAnsiTheme="minorHAnsi" w:cstheme="minorHAnsi"/>
          <w:color w:val="0B0C0C"/>
          <w:sz w:val="28"/>
          <w:szCs w:val="28"/>
        </w:rPr>
        <w:t>A</w:t>
      </w:r>
      <w:r w:rsidR="008E3A8B" w:rsidRPr="008E3A8B">
        <w:rPr>
          <w:rFonts w:asciiTheme="minorHAnsi" w:hAnsiTheme="minorHAnsi" w:cstheme="minorHAnsi"/>
          <w:color w:val="0B0C0C"/>
          <w:sz w:val="28"/>
          <w:szCs w:val="28"/>
        </w:rPr>
        <w:t xml:space="preserve">t interview, or in a separate discussion, </w:t>
      </w:r>
      <w:r w:rsidR="008E3A8B">
        <w:rPr>
          <w:rFonts w:asciiTheme="minorHAnsi" w:hAnsiTheme="minorHAnsi" w:cstheme="minorHAnsi"/>
          <w:color w:val="0B0C0C"/>
          <w:sz w:val="28"/>
          <w:szCs w:val="28"/>
        </w:rPr>
        <w:t>St Edward the Confessor PCC</w:t>
      </w:r>
      <w:r w:rsidR="008E3A8B" w:rsidRPr="008E3A8B">
        <w:rPr>
          <w:rFonts w:asciiTheme="minorHAnsi" w:hAnsiTheme="minorHAnsi" w:cstheme="minorHAnsi"/>
          <w:color w:val="0B0C0C"/>
          <w:sz w:val="28"/>
          <w:szCs w:val="28"/>
        </w:rPr>
        <w:t xml:space="preserve"> ensures that an open and measured discussion takes place </w:t>
      </w:r>
      <w:proofErr w:type="gramStart"/>
      <w:r w:rsidR="008E3A8B" w:rsidRPr="008E3A8B">
        <w:rPr>
          <w:rFonts w:asciiTheme="minorHAnsi" w:hAnsiTheme="minorHAnsi" w:cstheme="minorHAnsi"/>
          <w:color w:val="0B0C0C"/>
          <w:sz w:val="28"/>
          <w:szCs w:val="28"/>
        </w:rPr>
        <w:t>on the subject of any</w:t>
      </w:r>
      <w:proofErr w:type="gramEnd"/>
      <w:r w:rsidR="008E3A8B" w:rsidRPr="008E3A8B">
        <w:rPr>
          <w:rFonts w:asciiTheme="minorHAnsi" w:hAnsiTheme="minorHAnsi" w:cstheme="minorHAnsi"/>
          <w:color w:val="0B0C0C"/>
          <w:sz w:val="28"/>
          <w:szCs w:val="28"/>
        </w:rPr>
        <w:t xml:space="preserve"> offences or other matter that might be relevant to the position. Failure to reveal information that is directly relevant to the position sought could lead to withdrawal of an offer of employment</w:t>
      </w:r>
      <w:r>
        <w:rPr>
          <w:rFonts w:asciiTheme="minorHAnsi" w:hAnsiTheme="minorHAnsi" w:cstheme="minorHAnsi"/>
          <w:color w:val="0B0C0C"/>
          <w:sz w:val="28"/>
          <w:szCs w:val="28"/>
        </w:rPr>
        <w:t>.</w:t>
      </w:r>
    </w:p>
    <w:p w14:paraId="7BD4C649" w14:textId="4B652D58" w:rsidR="008E3A8B" w:rsidRPr="008E3A8B" w:rsidRDefault="008E3A8B" w:rsidP="00584E4A">
      <w:pPr>
        <w:pStyle w:val="NormalWeb"/>
        <w:numPr>
          <w:ilvl w:val="0"/>
          <w:numId w:val="2"/>
        </w:numPr>
        <w:shd w:val="clear" w:color="auto" w:fill="FFFFFF"/>
        <w:spacing w:before="0" w:beforeAutospacing="0" w:after="0" w:afterAutospacing="0"/>
        <w:rPr>
          <w:rFonts w:asciiTheme="minorHAnsi" w:hAnsiTheme="minorHAnsi" w:cstheme="minorHAnsi"/>
          <w:color w:val="0B0C0C"/>
          <w:sz w:val="28"/>
          <w:szCs w:val="28"/>
        </w:rPr>
      </w:pPr>
      <w:r>
        <w:rPr>
          <w:rFonts w:asciiTheme="minorHAnsi" w:hAnsiTheme="minorHAnsi" w:cstheme="minorHAnsi"/>
          <w:color w:val="0B0C0C"/>
          <w:sz w:val="28"/>
          <w:szCs w:val="28"/>
        </w:rPr>
        <w:t>St Edward the Confessor PCC</w:t>
      </w:r>
      <w:r w:rsidRPr="008E3A8B">
        <w:rPr>
          <w:rFonts w:asciiTheme="minorHAnsi" w:hAnsiTheme="minorHAnsi" w:cstheme="minorHAnsi"/>
          <w:color w:val="0B0C0C"/>
          <w:sz w:val="28"/>
          <w:szCs w:val="28"/>
        </w:rPr>
        <w:t xml:space="preserve"> makes every subject of a criminal record check submitted to DBS aware of the existence of the </w:t>
      </w:r>
      <w:hyperlink r:id="rId8" w:history="1">
        <w:r w:rsidRPr="008E3A8B">
          <w:rPr>
            <w:rStyle w:val="Hyperlink"/>
            <w:rFonts w:asciiTheme="minorHAnsi" w:hAnsiTheme="minorHAnsi" w:cstheme="minorHAnsi"/>
            <w:color w:val="1D70B8"/>
            <w:sz w:val="28"/>
            <w:szCs w:val="28"/>
          </w:rPr>
          <w:t>code of practice</w:t>
        </w:r>
      </w:hyperlink>
      <w:r w:rsidRPr="008E3A8B">
        <w:rPr>
          <w:rFonts w:asciiTheme="minorHAnsi" w:hAnsiTheme="minorHAnsi" w:cstheme="minorHAnsi"/>
          <w:color w:val="0B0C0C"/>
          <w:sz w:val="28"/>
          <w:szCs w:val="28"/>
        </w:rPr>
        <w:t> and makes a copy available on request</w:t>
      </w:r>
      <w:r w:rsidR="00584E4A">
        <w:rPr>
          <w:rFonts w:asciiTheme="minorHAnsi" w:hAnsiTheme="minorHAnsi" w:cstheme="minorHAnsi"/>
          <w:color w:val="0B0C0C"/>
          <w:sz w:val="28"/>
          <w:szCs w:val="28"/>
        </w:rPr>
        <w:t>.</w:t>
      </w:r>
    </w:p>
    <w:p w14:paraId="2CC7CC84" w14:textId="3640D6F4" w:rsidR="008E3A8B" w:rsidRDefault="008E3A8B" w:rsidP="00584E4A">
      <w:pPr>
        <w:pStyle w:val="NormalWeb"/>
        <w:numPr>
          <w:ilvl w:val="0"/>
          <w:numId w:val="2"/>
        </w:numPr>
        <w:shd w:val="clear" w:color="auto" w:fill="FFFFFF"/>
        <w:spacing w:before="0" w:beforeAutospacing="0" w:after="0" w:afterAutospacing="0"/>
        <w:rPr>
          <w:rFonts w:asciiTheme="minorHAnsi" w:hAnsiTheme="minorHAnsi" w:cstheme="minorHAnsi"/>
          <w:color w:val="0B0C0C"/>
          <w:sz w:val="28"/>
          <w:szCs w:val="28"/>
        </w:rPr>
      </w:pPr>
      <w:r w:rsidRPr="008E3A8B">
        <w:rPr>
          <w:rFonts w:asciiTheme="minorHAnsi" w:hAnsiTheme="minorHAnsi" w:cstheme="minorHAnsi"/>
          <w:color w:val="0B0C0C"/>
          <w:sz w:val="28"/>
          <w:szCs w:val="28"/>
        </w:rPr>
        <w:t>St Edward the Confessor PCC undertakes to discuss any matter revealed on a DBS certificate with the individual seeking the position before withdrawing a conditional offer of employment.</w:t>
      </w:r>
    </w:p>
    <w:p w14:paraId="70830F9A" w14:textId="6EFA734A" w:rsidR="008E3A8B" w:rsidRDefault="008E3A8B" w:rsidP="008E3A8B">
      <w:pPr>
        <w:pStyle w:val="NormalWeb"/>
        <w:shd w:val="clear" w:color="auto" w:fill="FFFFFF"/>
        <w:spacing w:before="0" w:beforeAutospacing="0" w:after="0" w:afterAutospacing="0"/>
        <w:rPr>
          <w:rFonts w:asciiTheme="minorHAnsi" w:hAnsiTheme="minorHAnsi" w:cstheme="minorHAnsi"/>
          <w:color w:val="0B0C0C"/>
          <w:sz w:val="28"/>
          <w:szCs w:val="28"/>
        </w:rPr>
      </w:pPr>
    </w:p>
    <w:p w14:paraId="1925D0E7" w14:textId="69C090F5" w:rsidR="008E3A8B" w:rsidRDefault="008E3A8B" w:rsidP="008E3A8B">
      <w:pPr>
        <w:pStyle w:val="NormalWeb"/>
        <w:shd w:val="clear" w:color="auto" w:fill="FFFFFF"/>
        <w:spacing w:before="0" w:beforeAutospacing="0" w:after="0" w:afterAutospacing="0"/>
        <w:rPr>
          <w:rFonts w:asciiTheme="minorHAnsi" w:hAnsiTheme="minorHAnsi" w:cstheme="minorHAnsi"/>
          <w:color w:val="0B0C0C"/>
          <w:sz w:val="28"/>
          <w:szCs w:val="28"/>
        </w:rPr>
      </w:pPr>
      <w:r>
        <w:rPr>
          <w:rFonts w:asciiTheme="minorHAnsi" w:hAnsiTheme="minorHAnsi" w:cstheme="minorHAnsi"/>
          <w:color w:val="0B0C0C"/>
          <w:sz w:val="28"/>
          <w:szCs w:val="28"/>
        </w:rPr>
        <w:t>Policy adopted by St Edward the Confessor PCC on</w:t>
      </w:r>
      <w:r w:rsidR="00701338">
        <w:rPr>
          <w:rFonts w:asciiTheme="minorHAnsi" w:hAnsiTheme="minorHAnsi" w:cstheme="minorHAnsi"/>
          <w:color w:val="0B0C0C"/>
          <w:sz w:val="28"/>
          <w:szCs w:val="28"/>
        </w:rPr>
        <w:t xml:space="preserve"> Monday 1</w:t>
      </w:r>
      <w:r w:rsidR="00AB6B90">
        <w:rPr>
          <w:rFonts w:asciiTheme="minorHAnsi" w:hAnsiTheme="minorHAnsi" w:cstheme="minorHAnsi"/>
          <w:color w:val="0B0C0C"/>
          <w:sz w:val="28"/>
          <w:szCs w:val="28"/>
        </w:rPr>
        <w:t>3</w:t>
      </w:r>
      <w:r w:rsidR="00701338" w:rsidRPr="00701338">
        <w:rPr>
          <w:rFonts w:asciiTheme="minorHAnsi" w:hAnsiTheme="minorHAnsi" w:cstheme="minorHAnsi"/>
          <w:color w:val="0B0C0C"/>
          <w:sz w:val="28"/>
          <w:szCs w:val="28"/>
          <w:vertAlign w:val="superscript"/>
        </w:rPr>
        <w:t>th</w:t>
      </w:r>
      <w:r w:rsidR="00701338">
        <w:rPr>
          <w:rFonts w:asciiTheme="minorHAnsi" w:hAnsiTheme="minorHAnsi" w:cstheme="minorHAnsi"/>
          <w:color w:val="0B0C0C"/>
          <w:sz w:val="28"/>
          <w:szCs w:val="28"/>
        </w:rPr>
        <w:t xml:space="preserve"> July 202</w:t>
      </w:r>
      <w:r w:rsidR="00AB6B90">
        <w:rPr>
          <w:rFonts w:asciiTheme="minorHAnsi" w:hAnsiTheme="minorHAnsi" w:cstheme="minorHAnsi"/>
          <w:color w:val="0B0C0C"/>
          <w:sz w:val="28"/>
          <w:szCs w:val="28"/>
        </w:rPr>
        <w:t>6</w:t>
      </w:r>
    </w:p>
    <w:p w14:paraId="54DB372E" w14:textId="78E0BD12" w:rsidR="008E3A8B" w:rsidRDefault="008E3A8B" w:rsidP="008E3A8B">
      <w:pPr>
        <w:pStyle w:val="NormalWeb"/>
        <w:shd w:val="clear" w:color="auto" w:fill="FFFFFF"/>
        <w:spacing w:before="0" w:beforeAutospacing="0" w:after="0" w:afterAutospacing="0"/>
        <w:rPr>
          <w:rFonts w:asciiTheme="minorHAnsi" w:hAnsiTheme="minorHAnsi" w:cstheme="minorHAnsi"/>
          <w:color w:val="0B0C0C"/>
          <w:sz w:val="28"/>
          <w:szCs w:val="28"/>
        </w:rPr>
      </w:pPr>
    </w:p>
    <w:p w14:paraId="60C241D1" w14:textId="3599D2FB" w:rsidR="008E3A8B" w:rsidRDefault="008E3A8B" w:rsidP="008E3A8B">
      <w:pPr>
        <w:pStyle w:val="NormalWeb"/>
        <w:shd w:val="clear" w:color="auto" w:fill="FFFFFF"/>
        <w:spacing w:before="0" w:beforeAutospacing="0" w:after="0" w:afterAutospacing="0"/>
        <w:rPr>
          <w:rFonts w:asciiTheme="minorHAnsi" w:hAnsiTheme="minorHAnsi" w:cstheme="minorHAnsi"/>
          <w:color w:val="0B0C0C"/>
          <w:sz w:val="28"/>
          <w:szCs w:val="28"/>
        </w:rPr>
      </w:pPr>
      <w:r>
        <w:rPr>
          <w:rFonts w:asciiTheme="minorHAnsi" w:hAnsiTheme="minorHAnsi" w:cstheme="minorHAnsi"/>
          <w:color w:val="0B0C0C"/>
          <w:sz w:val="28"/>
          <w:szCs w:val="28"/>
        </w:rPr>
        <w:t>Signed on behalf of the PCC:</w:t>
      </w:r>
    </w:p>
    <w:p w14:paraId="5849078C" w14:textId="41899365" w:rsidR="00303C92" w:rsidRPr="008E3A8B" w:rsidRDefault="00634F7B" w:rsidP="008E3A8B">
      <w:pPr>
        <w:pStyle w:val="NormalWeb"/>
        <w:shd w:val="clear" w:color="auto" w:fill="FFFFFF"/>
        <w:spacing w:before="0" w:beforeAutospacing="0" w:after="0" w:afterAutospacing="0"/>
        <w:rPr>
          <w:rFonts w:asciiTheme="minorHAnsi" w:hAnsiTheme="minorHAnsi" w:cstheme="minorHAnsi"/>
          <w:color w:val="0B0C0C"/>
          <w:sz w:val="28"/>
          <w:szCs w:val="28"/>
        </w:rPr>
      </w:pPr>
      <w:r>
        <w:rPr>
          <w:rFonts w:asciiTheme="minorHAnsi" w:hAnsiTheme="minorHAnsi" w:cstheme="minorHAnsi"/>
          <w:noProof/>
          <w:color w:val="0B0C0C"/>
          <w:sz w:val="28"/>
          <w:szCs w:val="28"/>
        </w:rPr>
        <w:drawing>
          <wp:inline distT="0" distB="0" distL="0" distR="0" wp14:anchorId="55E862C8" wp14:editId="3652F073">
            <wp:extent cx="1689100" cy="640476"/>
            <wp:effectExtent l="0" t="0" r="0" b="0"/>
            <wp:docPr id="12883798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379892" name="Picture 1288379892"/>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20144" cy="652247"/>
                    </a:xfrm>
                    <a:prstGeom prst="rect">
                      <a:avLst/>
                    </a:prstGeom>
                  </pic:spPr>
                </pic:pic>
              </a:graphicData>
            </a:graphic>
          </wp:inline>
        </w:drawing>
      </w:r>
    </w:p>
    <w:sectPr w:rsidR="00303C92" w:rsidRPr="008E3A8B" w:rsidSect="00463A59">
      <w:headerReference w:type="default" r:id="rId10"/>
      <w:endnotePr>
        <w:numFmt w:val="decimal"/>
      </w:endnotePr>
      <w:pgSz w:w="11906" w:h="16838" w:code="9"/>
      <w:pgMar w:top="567" w:right="1134" w:bottom="567" w:left="1134" w:header="567" w:footer="283"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BEAAE01" w14:textId="77777777" w:rsidR="000571C3" w:rsidRDefault="000571C3">
      <w:r>
        <w:separator/>
      </w:r>
    </w:p>
  </w:endnote>
  <w:endnote w:type="continuationSeparator" w:id="0">
    <w:p w14:paraId="483C2BF7" w14:textId="77777777" w:rsidR="000571C3" w:rsidRDefault="000571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rte">
    <w:panose1 w:val="03060902040502070203"/>
    <w:charset w:val="00"/>
    <w:family w:val="script"/>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Viner Hand ITC">
    <w:panose1 w:val="03070502030502020203"/>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8F62531" w14:textId="77777777" w:rsidR="000571C3" w:rsidRDefault="000571C3">
      <w:r>
        <w:separator/>
      </w:r>
    </w:p>
  </w:footnote>
  <w:footnote w:type="continuationSeparator" w:id="0">
    <w:p w14:paraId="5B13A4C1" w14:textId="77777777" w:rsidR="000571C3" w:rsidRDefault="000571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94F841" w14:textId="796CAC8F" w:rsidR="00AF4C02" w:rsidRDefault="008E3A8B">
    <w:pPr>
      <w:pStyle w:val="Title"/>
      <w:jc w:val="left"/>
      <w:rPr>
        <w:sz w:val="28"/>
      </w:rPr>
    </w:pPr>
    <w:r>
      <w:rPr>
        <w:noProof/>
        <w:sz w:val="20"/>
        <w:lang w:val="en-US"/>
      </w:rPr>
      <w:drawing>
        <wp:anchor distT="0" distB="0" distL="114300" distR="114300" simplePos="0" relativeHeight="251657728" behindDoc="0" locked="0" layoutInCell="1" allowOverlap="0" wp14:anchorId="5494F84B" wp14:editId="3A21C34C">
          <wp:simplePos x="0" y="0"/>
          <wp:positionH relativeFrom="column">
            <wp:posOffset>-457835</wp:posOffset>
          </wp:positionH>
          <wp:positionV relativeFrom="paragraph">
            <wp:posOffset>-110490</wp:posOffset>
          </wp:positionV>
          <wp:extent cx="2438400" cy="116078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38400" cy="1160780"/>
                  </a:xfrm>
                  <a:prstGeom prst="rect">
                    <a:avLst/>
                  </a:prstGeom>
                  <a:noFill/>
                </pic:spPr>
              </pic:pic>
            </a:graphicData>
          </a:graphic>
          <wp14:sizeRelH relativeFrom="page">
            <wp14:pctWidth>0</wp14:pctWidth>
          </wp14:sizeRelH>
          <wp14:sizeRelV relativeFrom="page">
            <wp14:pctHeight>0</wp14:pctHeight>
          </wp14:sizeRelV>
        </wp:anchor>
      </w:drawing>
    </w:r>
    <w:r w:rsidR="00AF4C02">
      <w:rPr>
        <w:sz w:val="28"/>
      </w:rPr>
      <w:t xml:space="preserve">   The Parish Church of</w:t>
    </w:r>
  </w:p>
  <w:p w14:paraId="5494F842" w14:textId="77777777" w:rsidR="00AF4C02" w:rsidRDefault="00AF4C02" w:rsidP="0072213C">
    <w:pPr>
      <w:pStyle w:val="Heading1"/>
      <w:jc w:val="right"/>
      <w:rPr>
        <w:rFonts w:ascii="Viner Hand ITC" w:hAnsi="Viner Hand ITC"/>
        <w:b/>
        <w:bCs/>
        <w:sz w:val="48"/>
      </w:rPr>
    </w:pPr>
    <w:r>
      <w:rPr>
        <w:rFonts w:ascii="Viner Hand ITC" w:hAnsi="Viner Hand ITC"/>
        <w:b/>
        <w:bCs/>
        <w:sz w:val="48"/>
      </w:rPr>
      <w:t>St Edward the Confessor</w:t>
    </w:r>
  </w:p>
  <w:p w14:paraId="5494F843" w14:textId="77777777" w:rsidR="00AF4C02" w:rsidRDefault="00AF4C02">
    <w:pPr>
      <w:pStyle w:val="Heading2"/>
      <w:rPr>
        <w:sz w:val="28"/>
      </w:rPr>
    </w:pPr>
    <w:r>
      <w:rPr>
        <w:sz w:val="28"/>
      </w:rPr>
      <w:t xml:space="preserve">                                           Dringhouses, York</w:t>
    </w:r>
  </w:p>
  <w:p w14:paraId="5494F844" w14:textId="77777777" w:rsidR="00AF4C02" w:rsidRDefault="00AF4C02">
    <w:pPr>
      <w:rPr>
        <w:rFonts w:cs="Arial"/>
        <w:sz w:val="22"/>
        <w:szCs w:val="22"/>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16C5F3C"/>
    <w:multiLevelType w:val="multilevel"/>
    <w:tmpl w:val="8D269440"/>
    <w:lvl w:ilvl="0">
      <w:start w:val="9"/>
      <w:numFmt w:val="decimal"/>
      <w:lvlText w:val="%1."/>
      <w:lvlJc w:val="left"/>
      <w:pPr>
        <w:tabs>
          <w:tab w:val="num" w:pos="720"/>
        </w:tabs>
        <w:ind w:left="720" w:hanging="360"/>
      </w:pPr>
      <w:rPr>
        <w:rFonts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EC85C93"/>
    <w:multiLevelType w:val="multilevel"/>
    <w:tmpl w:val="8FAAEA30"/>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4031969">
    <w:abstractNumId w:val="1"/>
  </w:num>
  <w:num w:numId="2" w16cid:durableId="174013171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mirrorMargins/>
  <w:bordersDoNotSurroundHeader/>
  <w:bordersDoNotSurroundFooter/>
  <w:proofState w:spelling="clean" w:grammar="clean"/>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213C"/>
    <w:rsid w:val="00001942"/>
    <w:rsid w:val="000571C3"/>
    <w:rsid w:val="00071534"/>
    <w:rsid w:val="000E2251"/>
    <w:rsid w:val="000F7D83"/>
    <w:rsid w:val="001207AC"/>
    <w:rsid w:val="00122C98"/>
    <w:rsid w:val="00132CB8"/>
    <w:rsid w:val="001958A0"/>
    <w:rsid w:val="001A2332"/>
    <w:rsid w:val="001B7B2C"/>
    <w:rsid w:val="001C170C"/>
    <w:rsid w:val="001F2279"/>
    <w:rsid w:val="00222A7E"/>
    <w:rsid w:val="00246865"/>
    <w:rsid w:val="002F2EF6"/>
    <w:rsid w:val="00303C92"/>
    <w:rsid w:val="003D4841"/>
    <w:rsid w:val="0041547C"/>
    <w:rsid w:val="004272E6"/>
    <w:rsid w:val="00435869"/>
    <w:rsid w:val="00463A59"/>
    <w:rsid w:val="0046742A"/>
    <w:rsid w:val="004928A8"/>
    <w:rsid w:val="00517180"/>
    <w:rsid w:val="0051753E"/>
    <w:rsid w:val="00527DA0"/>
    <w:rsid w:val="00555529"/>
    <w:rsid w:val="005740A9"/>
    <w:rsid w:val="00584E4A"/>
    <w:rsid w:val="005858C1"/>
    <w:rsid w:val="005B0594"/>
    <w:rsid w:val="005D0F93"/>
    <w:rsid w:val="005E1FB3"/>
    <w:rsid w:val="00613E9D"/>
    <w:rsid w:val="00634F7B"/>
    <w:rsid w:val="0067524A"/>
    <w:rsid w:val="00692D89"/>
    <w:rsid w:val="006A429F"/>
    <w:rsid w:val="00701338"/>
    <w:rsid w:val="00710960"/>
    <w:rsid w:val="007155D1"/>
    <w:rsid w:val="00720611"/>
    <w:rsid w:val="0072213C"/>
    <w:rsid w:val="007226B3"/>
    <w:rsid w:val="00756DE8"/>
    <w:rsid w:val="00767F71"/>
    <w:rsid w:val="00794993"/>
    <w:rsid w:val="007E702E"/>
    <w:rsid w:val="008152AB"/>
    <w:rsid w:val="00822292"/>
    <w:rsid w:val="008605B7"/>
    <w:rsid w:val="00865415"/>
    <w:rsid w:val="008926B4"/>
    <w:rsid w:val="008A0A5C"/>
    <w:rsid w:val="008B502C"/>
    <w:rsid w:val="008E3A8B"/>
    <w:rsid w:val="008E7FE0"/>
    <w:rsid w:val="00953DD0"/>
    <w:rsid w:val="0096238A"/>
    <w:rsid w:val="009C0EE0"/>
    <w:rsid w:val="00A2456C"/>
    <w:rsid w:val="00A5127A"/>
    <w:rsid w:val="00A86852"/>
    <w:rsid w:val="00AB6B90"/>
    <w:rsid w:val="00AD106C"/>
    <w:rsid w:val="00AF4C02"/>
    <w:rsid w:val="00B10CEB"/>
    <w:rsid w:val="00B15ADA"/>
    <w:rsid w:val="00B83312"/>
    <w:rsid w:val="00B84F95"/>
    <w:rsid w:val="00B860DA"/>
    <w:rsid w:val="00BA2AAD"/>
    <w:rsid w:val="00BB5279"/>
    <w:rsid w:val="00C254B3"/>
    <w:rsid w:val="00C263F6"/>
    <w:rsid w:val="00CA0CC0"/>
    <w:rsid w:val="00CA1D59"/>
    <w:rsid w:val="00CD4E75"/>
    <w:rsid w:val="00D0712B"/>
    <w:rsid w:val="00D45B56"/>
    <w:rsid w:val="00D727C5"/>
    <w:rsid w:val="00D73BB3"/>
    <w:rsid w:val="00DB4C10"/>
    <w:rsid w:val="00DC0A11"/>
    <w:rsid w:val="00DD0C32"/>
    <w:rsid w:val="00E026B7"/>
    <w:rsid w:val="00E02DC5"/>
    <w:rsid w:val="00E64233"/>
    <w:rsid w:val="00EA339F"/>
    <w:rsid w:val="00ED2CAD"/>
    <w:rsid w:val="00EF347F"/>
    <w:rsid w:val="00F21023"/>
    <w:rsid w:val="00F408E2"/>
    <w:rsid w:val="00FA7F32"/>
    <w:rsid w:val="00FE5AC8"/>
    <w:rsid w:val="00FF16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94F83C"/>
  <w15:docId w15:val="{5B597B43-3232-4041-B7B4-9BC779A26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339F"/>
    <w:pPr>
      <w:widowControl w:val="0"/>
      <w:autoSpaceDE w:val="0"/>
      <w:autoSpaceDN w:val="0"/>
      <w:adjustRightInd w:val="0"/>
    </w:pPr>
    <w:rPr>
      <w:rFonts w:ascii="Arial" w:hAnsi="Arial"/>
      <w:szCs w:val="24"/>
      <w:lang w:val="en-US" w:eastAsia="en-US"/>
    </w:rPr>
  </w:style>
  <w:style w:type="paragraph" w:styleId="Heading1">
    <w:name w:val="heading 1"/>
    <w:basedOn w:val="Normal"/>
    <w:next w:val="Normal"/>
    <w:qFormat/>
    <w:rsid w:val="00EA339F"/>
    <w:pPr>
      <w:keepNext/>
      <w:jc w:val="center"/>
      <w:outlineLvl w:val="0"/>
    </w:pPr>
    <w:rPr>
      <w:rFonts w:ascii="Forte" w:hAnsi="Forte" w:cs="Arial"/>
      <w:sz w:val="72"/>
      <w:szCs w:val="22"/>
      <w:lang w:val="en-GB"/>
    </w:rPr>
  </w:style>
  <w:style w:type="paragraph" w:styleId="Heading2">
    <w:name w:val="heading 2"/>
    <w:basedOn w:val="Normal"/>
    <w:next w:val="Normal"/>
    <w:qFormat/>
    <w:rsid w:val="00EA339F"/>
    <w:pPr>
      <w:keepNext/>
      <w:jc w:val="center"/>
      <w:outlineLvl w:val="1"/>
    </w:pPr>
    <w:rPr>
      <w:rFonts w:cs="Arial"/>
      <w:sz w:val="40"/>
      <w:szCs w:val="22"/>
      <w:lang w:val="en-GB"/>
    </w:rPr>
  </w:style>
  <w:style w:type="paragraph" w:styleId="Heading3">
    <w:name w:val="heading 3"/>
    <w:basedOn w:val="Normal"/>
    <w:next w:val="Normal"/>
    <w:qFormat/>
    <w:rsid w:val="00EA339F"/>
    <w:pPr>
      <w:keepNext/>
      <w:jc w:val="center"/>
      <w:outlineLvl w:val="2"/>
    </w:pPr>
    <w:rPr>
      <w:rFonts w:ascii="Century Gothic" w:hAnsi="Century Gothic"/>
      <w:sz w:val="24"/>
      <w:szCs w:val="22"/>
      <w:lang w:val="en-GB"/>
    </w:rPr>
  </w:style>
  <w:style w:type="paragraph" w:styleId="Heading4">
    <w:name w:val="heading 4"/>
    <w:basedOn w:val="Normal"/>
    <w:next w:val="Normal"/>
    <w:qFormat/>
    <w:rsid w:val="00EA339F"/>
    <w:pPr>
      <w:keepNext/>
      <w:jc w:val="center"/>
      <w:outlineLvl w:val="3"/>
    </w:pPr>
    <w:rPr>
      <w:rFonts w:ascii="Century Gothic" w:hAnsi="Century Gothic"/>
      <w:i/>
      <w:iCs/>
      <w:sz w:val="24"/>
      <w:szCs w:val="22"/>
      <w:lang w:val="en-GB"/>
    </w:rPr>
  </w:style>
  <w:style w:type="paragraph" w:styleId="Heading5">
    <w:name w:val="heading 5"/>
    <w:basedOn w:val="Normal"/>
    <w:next w:val="Normal"/>
    <w:qFormat/>
    <w:rsid w:val="00EA339F"/>
    <w:pPr>
      <w:keepNext/>
      <w:outlineLvl w:val="4"/>
    </w:pPr>
    <w:rPr>
      <w:rFonts w:cs="Arial"/>
      <w:b/>
      <w:bCs/>
      <w:sz w:val="24"/>
      <w:szCs w:val="22"/>
      <w:lang w:val="en-GB"/>
    </w:rPr>
  </w:style>
  <w:style w:type="paragraph" w:styleId="Heading6">
    <w:name w:val="heading 6"/>
    <w:basedOn w:val="Normal"/>
    <w:next w:val="Normal"/>
    <w:qFormat/>
    <w:rsid w:val="00EA339F"/>
    <w:pPr>
      <w:keepNext/>
      <w:outlineLvl w:val="5"/>
    </w:pPr>
    <w:rPr>
      <w:rFonts w:ascii="Times New Roman" w:hAnsi="Times New Roman"/>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EA339F"/>
  </w:style>
  <w:style w:type="paragraph" w:styleId="Title">
    <w:name w:val="Title"/>
    <w:basedOn w:val="Normal"/>
    <w:qFormat/>
    <w:rsid w:val="00EA339F"/>
    <w:pPr>
      <w:jc w:val="center"/>
    </w:pPr>
    <w:rPr>
      <w:rFonts w:cs="Arial"/>
      <w:sz w:val="40"/>
      <w:szCs w:val="22"/>
      <w:lang w:val="en-GB"/>
    </w:rPr>
  </w:style>
  <w:style w:type="character" w:styleId="Hyperlink">
    <w:name w:val="Hyperlink"/>
    <w:semiHidden/>
    <w:rsid w:val="00EA339F"/>
    <w:rPr>
      <w:color w:val="0000FF"/>
      <w:u w:val="single"/>
    </w:rPr>
  </w:style>
  <w:style w:type="paragraph" w:styleId="Header">
    <w:name w:val="header"/>
    <w:basedOn w:val="Normal"/>
    <w:semiHidden/>
    <w:rsid w:val="00EA339F"/>
    <w:pPr>
      <w:tabs>
        <w:tab w:val="center" w:pos="4153"/>
        <w:tab w:val="right" w:pos="8306"/>
      </w:tabs>
    </w:pPr>
  </w:style>
  <w:style w:type="paragraph" w:styleId="Footer">
    <w:name w:val="footer"/>
    <w:basedOn w:val="Normal"/>
    <w:semiHidden/>
    <w:rsid w:val="00EA339F"/>
    <w:pPr>
      <w:tabs>
        <w:tab w:val="center" w:pos="4153"/>
        <w:tab w:val="right" w:pos="8306"/>
      </w:tabs>
    </w:pPr>
  </w:style>
  <w:style w:type="paragraph" w:styleId="NoSpacing">
    <w:name w:val="No Spacing"/>
    <w:uiPriority w:val="1"/>
    <w:qFormat/>
    <w:rsid w:val="00710960"/>
    <w:rPr>
      <w:rFonts w:ascii="Calibri" w:eastAsia="Calibri" w:hAnsi="Calibri"/>
      <w:sz w:val="22"/>
      <w:szCs w:val="22"/>
      <w:lang w:eastAsia="en-US"/>
    </w:rPr>
  </w:style>
  <w:style w:type="paragraph" w:styleId="NormalWeb">
    <w:name w:val="Normal (Web)"/>
    <w:basedOn w:val="Normal"/>
    <w:uiPriority w:val="99"/>
    <w:semiHidden/>
    <w:unhideWhenUsed/>
    <w:rsid w:val="008E3A8B"/>
    <w:pPr>
      <w:widowControl/>
      <w:autoSpaceDE/>
      <w:autoSpaceDN/>
      <w:adjustRightInd/>
      <w:spacing w:before="100" w:beforeAutospacing="1" w:after="100" w:afterAutospacing="1"/>
    </w:pPr>
    <w:rPr>
      <w:rFonts w:ascii="Times New Roman" w:hAnsi="Times New Roman"/>
      <w:sz w:val="24"/>
      <w:lang w:val="en-GB" w:eastAsia="en-GB"/>
    </w:rPr>
  </w:style>
  <w:style w:type="paragraph" w:styleId="FootnoteText">
    <w:name w:val="footnote text"/>
    <w:basedOn w:val="Normal"/>
    <w:link w:val="FootnoteTextChar"/>
    <w:uiPriority w:val="99"/>
    <w:semiHidden/>
    <w:unhideWhenUsed/>
    <w:rsid w:val="008E3A8B"/>
    <w:pPr>
      <w:widowControl/>
      <w:autoSpaceDE/>
      <w:autoSpaceDN/>
      <w:adjustRightInd/>
    </w:pPr>
    <w:rPr>
      <w:rFonts w:ascii="Calibri" w:eastAsiaTheme="minorHAnsi" w:hAnsi="Calibri" w:cs="Calibri"/>
      <w:szCs w:val="20"/>
      <w:lang w:val="en-GB"/>
    </w:rPr>
  </w:style>
  <w:style w:type="character" w:customStyle="1" w:styleId="FootnoteTextChar">
    <w:name w:val="Footnote Text Char"/>
    <w:basedOn w:val="DefaultParagraphFont"/>
    <w:link w:val="FootnoteText"/>
    <w:uiPriority w:val="99"/>
    <w:semiHidden/>
    <w:rsid w:val="008E3A8B"/>
    <w:rPr>
      <w:rFonts w:ascii="Calibri" w:eastAsiaTheme="minorHAnsi" w:hAnsi="Calibri" w:cs="Calibr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0125866">
      <w:bodyDiv w:val="1"/>
      <w:marLeft w:val="0"/>
      <w:marRight w:val="0"/>
      <w:marTop w:val="0"/>
      <w:marBottom w:val="0"/>
      <w:divBdr>
        <w:top w:val="none" w:sz="0" w:space="0" w:color="auto"/>
        <w:left w:val="none" w:sz="0" w:space="0" w:color="auto"/>
        <w:bottom w:val="none" w:sz="0" w:space="0" w:color="auto"/>
        <w:right w:val="none" w:sz="0" w:space="0" w:color="auto"/>
      </w:divBdr>
    </w:div>
    <w:div w:id="961115820">
      <w:bodyDiv w:val="1"/>
      <w:marLeft w:val="0"/>
      <w:marRight w:val="0"/>
      <w:marTop w:val="0"/>
      <w:marBottom w:val="0"/>
      <w:divBdr>
        <w:top w:val="none" w:sz="0" w:space="0" w:color="auto"/>
        <w:left w:val="none" w:sz="0" w:space="0" w:color="auto"/>
        <w:bottom w:val="none" w:sz="0" w:space="0" w:color="auto"/>
        <w:right w:val="none" w:sz="0" w:space="0" w:color="auto"/>
      </w:divBdr>
    </w:div>
    <w:div w:id="1253587272">
      <w:bodyDiv w:val="1"/>
      <w:marLeft w:val="0"/>
      <w:marRight w:val="0"/>
      <w:marTop w:val="0"/>
      <w:marBottom w:val="0"/>
      <w:divBdr>
        <w:top w:val="none" w:sz="0" w:space="0" w:color="auto"/>
        <w:left w:val="none" w:sz="0" w:space="0" w:color="auto"/>
        <w:bottom w:val="none" w:sz="0" w:space="0" w:color="auto"/>
        <w:right w:val="none" w:sz="0" w:space="0" w:color="auto"/>
      </w:divBdr>
    </w:div>
    <w:div w:id="1874491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dbs-code-of-practice" TargetMode="External"/><Relationship Id="rId3" Type="http://schemas.openxmlformats.org/officeDocument/2006/relationships/settings" Target="settings.xml"/><Relationship Id="rId7" Type="http://schemas.openxmlformats.org/officeDocument/2006/relationships/hyperlink" Target="https://www.gov.uk/government/publications/dbs-code-of-practic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591</Words>
  <Characters>3371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Ms Phoebe Simpson</vt:lpstr>
    </vt:vector>
  </TitlesOfParts>
  <Company>private</Company>
  <LinksUpToDate>false</LinksUpToDate>
  <CharactersWithSpaces>3955</CharactersWithSpaces>
  <SharedDoc>false</SharedDoc>
  <HLinks>
    <vt:vector size="6" baseType="variant">
      <vt:variant>
        <vt:i4>7667740</vt:i4>
      </vt:variant>
      <vt:variant>
        <vt:i4>0</vt:i4>
      </vt:variant>
      <vt:variant>
        <vt:i4>0</vt:i4>
      </vt:variant>
      <vt:variant>
        <vt:i4>5</vt:i4>
      </vt:variant>
      <vt:variant>
        <vt:lpwstr>mailto:parishoffice@care4free.net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 Phoebe Simpson</dc:title>
  <dc:creator>user</dc:creator>
  <cp:lastModifiedBy>Helen Wren</cp:lastModifiedBy>
  <cp:revision>2</cp:revision>
  <cp:lastPrinted>2012-03-05T08:26:00Z</cp:lastPrinted>
  <dcterms:created xsi:type="dcterms:W3CDTF">2026-09-01T10:41:00Z</dcterms:created>
  <dcterms:modified xsi:type="dcterms:W3CDTF">2026-09-01T10:41:00Z</dcterms:modified>
</cp:coreProperties>
</file>